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51287952" w:rsidR="0064444A" w:rsidRPr="0064444A" w:rsidRDefault="00DD6C49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3"/>
              </w:rPr>
              <w:t>Malaysia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3A1C4C20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FE6531">
              <w:rPr>
                <w:rFonts w:cstheme="minorHAnsi"/>
                <w:color w:val="1F1F1F"/>
              </w:rPr>
              <w:t>4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FE6531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1D6267CB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DD6C49">
              <w:rPr>
                <w:rFonts w:cstheme="minorHAnsi"/>
                <w:color w:val="1F1F1F"/>
              </w:rPr>
              <w:t>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6CCD0B29" w:rsidR="0064444A" w:rsidRPr="0064444A" w:rsidRDefault="00A35681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07</w:t>
            </w:r>
            <w:r w:rsidR="00DD6C49">
              <w:rPr>
                <w:rFonts w:cstheme="minorHAnsi"/>
                <w:color w:val="1F1F1F"/>
                <w:spacing w:val="-1"/>
              </w:rPr>
              <w:t xml:space="preserve"> Ju</w:t>
            </w:r>
            <w:r>
              <w:rPr>
                <w:rFonts w:cstheme="minorHAnsi"/>
                <w:color w:val="1F1F1F"/>
                <w:spacing w:val="-1"/>
              </w:rPr>
              <w:t>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="00DD6C49">
              <w:rPr>
                <w:rFonts w:cstheme="minorHAnsi"/>
                <w:color w:val="1F1F1F"/>
                <w:spacing w:val="-7"/>
              </w:rPr>
              <w:t>11 J</w:t>
            </w:r>
            <w:r>
              <w:rPr>
                <w:rFonts w:cstheme="minorHAnsi"/>
                <w:color w:val="1F1F1F"/>
                <w:spacing w:val="-7"/>
              </w:rPr>
              <w:t>un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61E9DAFE" w:rsidR="0064444A" w:rsidRDefault="0064444A" w:rsidP="00E652B1">
      <w:pPr>
        <w:rPr>
          <w:b/>
        </w:rPr>
      </w:pPr>
    </w:p>
    <w:p w14:paraId="3956B612" w14:textId="4C2E4981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t>Hotel Details: -</w:t>
      </w:r>
    </w:p>
    <w:p w14:paraId="26C6A5D8" w14:textId="460BCC12" w:rsidR="00745974" w:rsidRDefault="00745974" w:rsidP="00E652B1">
      <w:pPr>
        <w:rPr>
          <w:b/>
          <w:u w:val="single"/>
        </w:rPr>
      </w:pPr>
      <w:r>
        <w:rPr>
          <w:b/>
          <w:u w:val="single"/>
        </w:rPr>
        <w:t>Option: - 01</w:t>
      </w:r>
    </w:p>
    <w:p w14:paraId="36FBE71C" w14:textId="41A0A85F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FE6531">
        <w:rPr>
          <w:rFonts w:asciiTheme="minorHAnsi" w:hAnsiTheme="minorHAnsi" w:cstheme="minorHAnsi"/>
          <w:b/>
          <w:shd w:val="clear" w:color="auto" w:fill="FFFF00"/>
        </w:rPr>
        <w:t>25,597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FE6531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61AD8" w:rsidRPr="00261AD8" w14:paraId="65C204A6" w14:textId="77777777" w:rsidTr="00475A15">
        <w:trPr>
          <w:trHeight w:val="505"/>
        </w:trPr>
        <w:tc>
          <w:tcPr>
            <w:tcW w:w="1456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61AD8" w:rsidRPr="00261AD8" w14:paraId="253392CE" w14:textId="77777777" w:rsidTr="00475A15">
        <w:trPr>
          <w:trHeight w:val="506"/>
        </w:trPr>
        <w:tc>
          <w:tcPr>
            <w:tcW w:w="1456" w:type="dxa"/>
          </w:tcPr>
          <w:p w14:paraId="5F394020" w14:textId="6DF71461" w:rsidR="00261AD8" w:rsidRPr="00261AD8" w:rsidRDefault="00475A15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325DF414" w14:textId="77F93609" w:rsidR="00261AD8" w:rsidRPr="00261AD8" w:rsidRDefault="000A32CB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0A32CB">
              <w:rPr>
                <w:rFonts w:asciiTheme="minorHAnsi" w:hAnsiTheme="minorHAnsi" w:cstheme="minorHAnsi"/>
                <w:b/>
              </w:rPr>
              <w:t>Furama</w:t>
            </w:r>
            <w:proofErr w:type="spellEnd"/>
            <w:r w:rsidRPr="000A32CB">
              <w:rPr>
                <w:rFonts w:asciiTheme="minorHAnsi" w:hAnsiTheme="minorHAnsi" w:cstheme="minorHAnsi"/>
                <w:b/>
              </w:rPr>
              <w:t xml:space="preserve"> Bukit Bintang</w:t>
            </w:r>
            <w:r w:rsidR="00A855E4">
              <w:rPr>
                <w:rFonts w:asciiTheme="minorHAnsi" w:hAnsiTheme="minorHAnsi" w:cstheme="minorHAnsi"/>
                <w:b/>
              </w:rPr>
              <w:t xml:space="preserve"> / Similar</w:t>
            </w:r>
            <w:bookmarkStart w:id="0" w:name="_GoBack"/>
            <w:bookmarkEnd w:id="0"/>
          </w:p>
        </w:tc>
        <w:tc>
          <w:tcPr>
            <w:tcW w:w="1710" w:type="dxa"/>
          </w:tcPr>
          <w:p w14:paraId="59695EAF" w14:textId="1C2969A5" w:rsidR="00261AD8" w:rsidRPr="00261AD8" w:rsidRDefault="00261AD8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745974"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350" w:type="dxa"/>
          </w:tcPr>
          <w:p w14:paraId="3A623AFD" w14:textId="0B50AB88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 w:rsidR="0074597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90" w:type="dxa"/>
          </w:tcPr>
          <w:p w14:paraId="657DC676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2D686D8" w14:textId="4DA0B51E" w:rsidR="00261AD8" w:rsidRDefault="00261AD8" w:rsidP="00E652B1"/>
    <w:p w14:paraId="29510CED" w14:textId="27B1ACB8" w:rsidR="00745974" w:rsidRDefault="00745974" w:rsidP="00E652B1">
      <w:pPr>
        <w:rPr>
          <w:b/>
        </w:rPr>
      </w:pPr>
      <w:r w:rsidRPr="00745974">
        <w:rPr>
          <w:b/>
        </w:rPr>
        <w:t>Option: - 02</w:t>
      </w:r>
    </w:p>
    <w:p w14:paraId="36DF822E" w14:textId="2E1734E4" w:rsidR="00745974" w:rsidRPr="00261AD8" w:rsidRDefault="00745974" w:rsidP="00745974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FE6531">
        <w:rPr>
          <w:rFonts w:asciiTheme="minorHAnsi" w:hAnsiTheme="minorHAnsi" w:cstheme="minorHAnsi"/>
          <w:b/>
          <w:shd w:val="clear" w:color="auto" w:fill="FFFF00"/>
        </w:rPr>
        <w:t>30</w:t>
      </w:r>
      <w:r w:rsidR="00CE20CA">
        <w:rPr>
          <w:rFonts w:asciiTheme="minorHAnsi" w:hAnsiTheme="minorHAnsi" w:cstheme="minorHAnsi"/>
          <w:b/>
          <w:shd w:val="clear" w:color="auto" w:fill="FFFF00"/>
        </w:rPr>
        <w:t>,</w:t>
      </w:r>
      <w:r w:rsidR="00FE6531">
        <w:rPr>
          <w:rFonts w:asciiTheme="minorHAnsi" w:hAnsiTheme="minorHAnsi" w:cstheme="minorHAnsi"/>
          <w:b/>
          <w:shd w:val="clear" w:color="auto" w:fill="FFFF00"/>
        </w:rPr>
        <w:t>725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3791F76D" w14:textId="77777777" w:rsidR="00745974" w:rsidRPr="00261AD8" w:rsidRDefault="00745974" w:rsidP="00745974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969"/>
        <w:gridCol w:w="1418"/>
        <w:gridCol w:w="1559"/>
        <w:gridCol w:w="1408"/>
      </w:tblGrid>
      <w:tr w:rsidR="00745974" w:rsidRPr="00261AD8" w14:paraId="6EEFA5FE" w14:textId="77777777" w:rsidTr="00A855E4">
        <w:trPr>
          <w:trHeight w:val="505"/>
        </w:trPr>
        <w:tc>
          <w:tcPr>
            <w:tcW w:w="1456" w:type="dxa"/>
          </w:tcPr>
          <w:p w14:paraId="75CDECD5" w14:textId="77777777" w:rsidR="00745974" w:rsidRPr="00261AD8" w:rsidRDefault="00745974" w:rsidP="00D06388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969" w:type="dxa"/>
          </w:tcPr>
          <w:p w14:paraId="78039838" w14:textId="77777777" w:rsidR="00745974" w:rsidRPr="00261AD8" w:rsidRDefault="00745974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18" w:type="dxa"/>
          </w:tcPr>
          <w:p w14:paraId="3CF38B77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559" w:type="dxa"/>
          </w:tcPr>
          <w:p w14:paraId="663A1617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408" w:type="dxa"/>
          </w:tcPr>
          <w:p w14:paraId="5D6E6398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745974" w:rsidRPr="00261AD8" w14:paraId="10EFFEA5" w14:textId="77777777" w:rsidTr="00A855E4">
        <w:trPr>
          <w:trHeight w:val="506"/>
        </w:trPr>
        <w:tc>
          <w:tcPr>
            <w:tcW w:w="1456" w:type="dxa"/>
          </w:tcPr>
          <w:p w14:paraId="7ABFF110" w14:textId="77777777" w:rsidR="00745974" w:rsidRPr="00261AD8" w:rsidRDefault="00745974" w:rsidP="00D0638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969" w:type="dxa"/>
          </w:tcPr>
          <w:p w14:paraId="308FF351" w14:textId="015C38BC" w:rsidR="00745974" w:rsidRPr="00261AD8" w:rsidRDefault="00745974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745974">
              <w:rPr>
                <w:rFonts w:asciiTheme="minorHAnsi" w:hAnsiTheme="minorHAnsi" w:cstheme="minorHAnsi"/>
                <w:b/>
              </w:rPr>
              <w:t xml:space="preserve">Royale </w:t>
            </w:r>
            <w:proofErr w:type="spellStart"/>
            <w:r w:rsidRPr="00745974">
              <w:rPr>
                <w:rFonts w:asciiTheme="minorHAnsi" w:hAnsiTheme="minorHAnsi" w:cstheme="minorHAnsi"/>
                <w:b/>
              </w:rPr>
              <w:t>Chulan</w:t>
            </w:r>
            <w:proofErr w:type="spellEnd"/>
            <w:r w:rsidRPr="00745974">
              <w:rPr>
                <w:rFonts w:asciiTheme="minorHAnsi" w:hAnsiTheme="minorHAnsi" w:cstheme="minorHAnsi"/>
                <w:b/>
              </w:rPr>
              <w:t xml:space="preserve"> Kuala Lumpur 5*</w:t>
            </w:r>
            <w:r w:rsidR="00A855E4"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418" w:type="dxa"/>
          </w:tcPr>
          <w:p w14:paraId="1D7631AF" w14:textId="77777777" w:rsidR="00745974" w:rsidRPr="00261AD8" w:rsidRDefault="00745974" w:rsidP="00D063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</w:p>
        </w:tc>
        <w:tc>
          <w:tcPr>
            <w:tcW w:w="1559" w:type="dxa"/>
          </w:tcPr>
          <w:p w14:paraId="5A5CD672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08" w:type="dxa"/>
          </w:tcPr>
          <w:p w14:paraId="369BC562" w14:textId="77777777" w:rsidR="00745974" w:rsidRPr="00261AD8" w:rsidRDefault="00745974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663BC4B7" w14:textId="272C7AF8" w:rsidR="00745974" w:rsidRDefault="00745974" w:rsidP="00E652B1">
      <w:pPr>
        <w:rPr>
          <w:b/>
        </w:rPr>
      </w:pPr>
    </w:p>
    <w:p w14:paraId="70764EE3" w14:textId="05BD4FA8" w:rsidR="00FE6531" w:rsidRDefault="00FE6531" w:rsidP="00E652B1">
      <w:pPr>
        <w:rPr>
          <w:b/>
        </w:rPr>
      </w:pPr>
    </w:p>
    <w:p w14:paraId="4AA596CE" w14:textId="77777777" w:rsidR="00FE6531" w:rsidRPr="00745974" w:rsidRDefault="00FE6531" w:rsidP="00E652B1">
      <w:pPr>
        <w:rPr>
          <w:b/>
        </w:rPr>
      </w:pPr>
    </w:p>
    <w:p w14:paraId="6F5B4CA2" w14:textId="323EDAFC" w:rsidR="00FE6531" w:rsidRDefault="00FE6531" w:rsidP="00FE6531">
      <w:pPr>
        <w:rPr>
          <w:b/>
        </w:rPr>
      </w:pPr>
      <w:r w:rsidRPr="00745974">
        <w:rPr>
          <w:b/>
        </w:rPr>
        <w:lastRenderedPageBreak/>
        <w:t>Option: - 0</w:t>
      </w:r>
      <w:r>
        <w:rPr>
          <w:b/>
        </w:rPr>
        <w:t>3</w:t>
      </w:r>
    </w:p>
    <w:p w14:paraId="1C97DA37" w14:textId="4408FFE6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3</w:t>
      </w:r>
      <w:r>
        <w:rPr>
          <w:rFonts w:asciiTheme="minorHAnsi" w:hAnsiTheme="minorHAnsi" w:cstheme="minorHAnsi"/>
          <w:b/>
          <w:shd w:val="clear" w:color="auto" w:fill="FFFF00"/>
        </w:rPr>
        <w:t>2,555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089B3119" w14:textId="77777777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FE6531" w:rsidRPr="00261AD8" w14:paraId="38522AC9" w14:textId="77777777" w:rsidTr="00D06388">
        <w:trPr>
          <w:trHeight w:val="505"/>
        </w:trPr>
        <w:tc>
          <w:tcPr>
            <w:tcW w:w="1456" w:type="dxa"/>
          </w:tcPr>
          <w:p w14:paraId="44B739A3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442B0CD6" w14:textId="77777777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429859CA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9B9715F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0A3F454C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FE6531" w:rsidRPr="00261AD8" w14:paraId="16C3D7F5" w14:textId="77777777" w:rsidTr="00D06388">
        <w:trPr>
          <w:trHeight w:val="506"/>
        </w:trPr>
        <w:tc>
          <w:tcPr>
            <w:tcW w:w="1456" w:type="dxa"/>
          </w:tcPr>
          <w:p w14:paraId="43402102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0E3F2837" w14:textId="77F6757D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FE6531">
              <w:rPr>
                <w:rFonts w:asciiTheme="minorHAnsi" w:hAnsiTheme="minorHAnsi" w:cstheme="minorHAnsi"/>
                <w:b/>
              </w:rPr>
              <w:t>Ramada Suites KLCC 4*</w:t>
            </w:r>
            <w:r>
              <w:rPr>
                <w:rFonts w:asciiTheme="minorHAnsi" w:hAnsiTheme="minorHAnsi" w:cstheme="minorHAnsi"/>
                <w:b/>
              </w:rPr>
              <w:t xml:space="preserve"> / similar</w:t>
            </w:r>
          </w:p>
        </w:tc>
        <w:tc>
          <w:tcPr>
            <w:tcW w:w="1710" w:type="dxa"/>
          </w:tcPr>
          <w:p w14:paraId="27F67B55" w14:textId="389ADEC8" w:rsidR="00FE6531" w:rsidRPr="00261AD8" w:rsidRDefault="00FE6531" w:rsidP="00D063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tudio Executive</w:t>
            </w:r>
          </w:p>
        </w:tc>
        <w:tc>
          <w:tcPr>
            <w:tcW w:w="1350" w:type="dxa"/>
          </w:tcPr>
          <w:p w14:paraId="35E62BF2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90" w:type="dxa"/>
          </w:tcPr>
          <w:p w14:paraId="5A30A201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16BBEDCC" w14:textId="2861622B" w:rsidR="00FE6531" w:rsidRDefault="00FE6531" w:rsidP="00E652B1">
      <w:pPr>
        <w:rPr>
          <w:b/>
          <w:u w:val="single"/>
        </w:rPr>
      </w:pPr>
    </w:p>
    <w:p w14:paraId="6EBC2576" w14:textId="3295C27B" w:rsidR="00FE6531" w:rsidRDefault="00FE6531" w:rsidP="00FE6531">
      <w:pPr>
        <w:rPr>
          <w:b/>
        </w:rPr>
      </w:pPr>
      <w:r w:rsidRPr="00745974">
        <w:rPr>
          <w:b/>
        </w:rPr>
        <w:t>Option: - 0</w:t>
      </w:r>
      <w:r>
        <w:rPr>
          <w:b/>
        </w:rPr>
        <w:t>4</w:t>
      </w:r>
    </w:p>
    <w:p w14:paraId="42F61F78" w14:textId="3C892D9C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41,310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5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7222551" w14:textId="77777777" w:rsidR="00FE6531" w:rsidRPr="00261AD8" w:rsidRDefault="00FE6531" w:rsidP="00FE653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FE6531" w:rsidRPr="00261AD8" w14:paraId="6A2BB497" w14:textId="77777777" w:rsidTr="00D06388">
        <w:trPr>
          <w:trHeight w:val="505"/>
        </w:trPr>
        <w:tc>
          <w:tcPr>
            <w:tcW w:w="1456" w:type="dxa"/>
          </w:tcPr>
          <w:p w14:paraId="73FE95C0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08C3D460" w14:textId="77777777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5BB71075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18FF5171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15E415F9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FE6531" w:rsidRPr="00261AD8" w14:paraId="203433DF" w14:textId="77777777" w:rsidTr="00D06388">
        <w:trPr>
          <w:trHeight w:val="506"/>
        </w:trPr>
        <w:tc>
          <w:tcPr>
            <w:tcW w:w="1456" w:type="dxa"/>
          </w:tcPr>
          <w:p w14:paraId="29BBFB78" w14:textId="77777777" w:rsidR="00FE6531" w:rsidRPr="00261AD8" w:rsidRDefault="00FE6531" w:rsidP="00D0638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2BAAF2AD" w14:textId="57CDBB46" w:rsidR="00FE6531" w:rsidRPr="00261AD8" w:rsidRDefault="00FE6531" w:rsidP="00D06388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FE6531">
              <w:rPr>
                <w:rFonts w:asciiTheme="minorHAnsi" w:hAnsiTheme="minorHAnsi" w:cstheme="minorHAnsi"/>
                <w:b/>
              </w:rPr>
              <w:t>Grand Millennium 5*</w:t>
            </w:r>
            <w:r>
              <w:rPr>
                <w:rFonts w:asciiTheme="minorHAnsi" w:hAnsiTheme="minorHAnsi" w:cstheme="minorHAnsi"/>
                <w:b/>
              </w:rPr>
              <w:t xml:space="preserve"> / similar</w:t>
            </w:r>
          </w:p>
        </w:tc>
        <w:tc>
          <w:tcPr>
            <w:tcW w:w="1710" w:type="dxa"/>
          </w:tcPr>
          <w:p w14:paraId="582CA6A5" w14:textId="464E4BBB" w:rsidR="00FE6531" w:rsidRPr="00261AD8" w:rsidRDefault="00FE6531" w:rsidP="00D0638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Deluxe</w:t>
            </w:r>
          </w:p>
        </w:tc>
        <w:tc>
          <w:tcPr>
            <w:tcW w:w="1350" w:type="dxa"/>
          </w:tcPr>
          <w:p w14:paraId="4401F2F0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90" w:type="dxa"/>
          </w:tcPr>
          <w:p w14:paraId="19D1C9B7" w14:textId="77777777" w:rsidR="00FE6531" w:rsidRPr="00261AD8" w:rsidRDefault="00FE6531" w:rsidP="00D06388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3AFFD859" w14:textId="77777777" w:rsidR="00FE6531" w:rsidRDefault="00FE6531" w:rsidP="00E652B1">
      <w:pPr>
        <w:rPr>
          <w:b/>
          <w:u w:val="single"/>
        </w:rPr>
      </w:pPr>
    </w:p>
    <w:p w14:paraId="50B39142" w14:textId="77777777" w:rsidR="00FE6531" w:rsidRDefault="00FE6531" w:rsidP="00E652B1">
      <w:pPr>
        <w:rPr>
          <w:b/>
          <w:u w:val="single"/>
        </w:rPr>
      </w:pPr>
    </w:p>
    <w:p w14:paraId="0E2F4A60" w14:textId="429E5F1C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4ACBB849" w14:textId="34709D65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0</w:t>
      </w:r>
      <w:r>
        <w:t>4</w:t>
      </w:r>
      <w:r w:rsidRPr="00FE6531">
        <w:t xml:space="preserve"> </w:t>
      </w:r>
      <w:r w:rsidRPr="00FE6531">
        <w:t>nights’</w:t>
      </w:r>
      <w:r w:rsidRPr="00FE6531">
        <w:t xml:space="preserve"> </w:t>
      </w:r>
      <w:r w:rsidRPr="00FE6531">
        <w:t>accommodation</w:t>
      </w:r>
      <w:r w:rsidRPr="00FE6531">
        <w:tab/>
      </w:r>
      <w:r w:rsidRPr="00FE6531">
        <w:tab/>
      </w:r>
      <w:r w:rsidRPr="00FE6531">
        <w:tab/>
      </w:r>
    </w:p>
    <w:p w14:paraId="0469B013" w14:textId="77777777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Daily breakfast</w:t>
      </w:r>
      <w:r w:rsidRPr="00FE6531">
        <w:tab/>
      </w:r>
      <w:r w:rsidRPr="00FE6531">
        <w:tab/>
      </w:r>
      <w:r w:rsidRPr="00FE6531">
        <w:tab/>
      </w:r>
    </w:p>
    <w:p w14:paraId="65947D6D" w14:textId="77777777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Half Day Kuala Lumpur city tour with KL Tower</w:t>
      </w:r>
      <w:r w:rsidRPr="00FE6531">
        <w:tab/>
      </w:r>
      <w:r w:rsidRPr="00FE6531">
        <w:tab/>
      </w:r>
      <w:r w:rsidRPr="00FE6531">
        <w:tab/>
      </w:r>
    </w:p>
    <w:p w14:paraId="0C9CA51A" w14:textId="44FDF14A" w:rsid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 xml:space="preserve">Genting Full Day Tour Enroute </w:t>
      </w:r>
      <w:proofErr w:type="spellStart"/>
      <w:r w:rsidRPr="00FE6531">
        <w:t>Batu</w:t>
      </w:r>
      <w:proofErr w:type="spellEnd"/>
      <w:r w:rsidRPr="00FE6531">
        <w:t xml:space="preserve"> Caves + One Way Cable Car with Indoor Theme Park</w:t>
      </w:r>
      <w:r w:rsidRPr="00FE6531">
        <w:tab/>
      </w:r>
    </w:p>
    <w:p w14:paraId="5D1E7853" w14:textId="4658FB3C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Full Day Sunway Lagoon Tour Except Tuesday (Extreme park on own)</w:t>
      </w:r>
    </w:p>
    <w:p w14:paraId="70769C80" w14:textId="77777777" w:rsidR="00FE6531" w:rsidRPr="00FE6531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Return airport transfers</w:t>
      </w:r>
      <w:r w:rsidRPr="00FE6531">
        <w:tab/>
      </w:r>
      <w:r w:rsidRPr="00FE6531">
        <w:tab/>
      </w:r>
      <w:r w:rsidRPr="00FE6531">
        <w:tab/>
      </w:r>
    </w:p>
    <w:p w14:paraId="37A35FCE" w14:textId="115ED456" w:rsidR="00261AD8" w:rsidRDefault="00FE6531" w:rsidP="00FE6531">
      <w:pPr>
        <w:pStyle w:val="BodyText"/>
        <w:numPr>
          <w:ilvl w:val="0"/>
          <w:numId w:val="4"/>
        </w:numPr>
        <w:spacing w:before="1"/>
      </w:pPr>
      <w:r w:rsidRPr="00FE6531">
        <w:t>All tours and transfers on seat in coach basis. Only Genting Day trip on Private basis.</w:t>
      </w:r>
      <w:r w:rsidRPr="00FE6531">
        <w:tab/>
      </w:r>
      <w:r w:rsidRPr="00FE6531">
        <w:rPr>
          <w:b/>
        </w:rPr>
        <w:tab/>
      </w:r>
      <w:r w:rsidRPr="00FE6531">
        <w:rPr>
          <w:b/>
        </w:rPr>
        <w:tab/>
      </w:r>
    </w:p>
    <w:p w14:paraId="22D5A3A3" w14:textId="77777777" w:rsidR="00261AD8" w:rsidRDefault="00261AD8" w:rsidP="002728E5">
      <w:pPr>
        <w:pStyle w:val="BodyText"/>
        <w:spacing w:before="1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0D4FFAFB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proofErr w:type="gramStart"/>
      <w:r w:rsidRPr="00261AD8">
        <w:rPr>
          <w:i/>
        </w:rPr>
        <w:t>is</w:t>
      </w:r>
      <w:proofErr w:type="gramEnd"/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lastRenderedPageBreak/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7C4872" w:rsidP="00347BEB">
      <w:hyperlink r:id="rId8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lastRenderedPageBreak/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0"/>
      <w:footerReference w:type="default" r:id="rId11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ABC38" w14:textId="77777777" w:rsidR="007C4872" w:rsidRDefault="007C4872" w:rsidP="00E652B1">
      <w:pPr>
        <w:spacing w:after="0" w:line="240" w:lineRule="auto"/>
      </w:pPr>
      <w:r>
        <w:separator/>
      </w:r>
    </w:p>
  </w:endnote>
  <w:endnote w:type="continuationSeparator" w:id="0">
    <w:p w14:paraId="348AA14B" w14:textId="77777777" w:rsidR="007C4872" w:rsidRDefault="007C4872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C4CCC" w14:textId="77777777" w:rsidR="007C4872" w:rsidRDefault="007C4872" w:rsidP="00E652B1">
      <w:pPr>
        <w:spacing w:after="0" w:line="240" w:lineRule="auto"/>
      </w:pPr>
      <w:r>
        <w:separator/>
      </w:r>
    </w:p>
  </w:footnote>
  <w:footnote w:type="continuationSeparator" w:id="0">
    <w:p w14:paraId="06A187C9" w14:textId="77777777" w:rsidR="007C4872" w:rsidRDefault="007C4872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CD1177"/>
    <w:multiLevelType w:val="hybridMultilevel"/>
    <w:tmpl w:val="76CCF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A32CB"/>
    <w:rsid w:val="000D1B33"/>
    <w:rsid w:val="00107CA6"/>
    <w:rsid w:val="00261AD8"/>
    <w:rsid w:val="002728E5"/>
    <w:rsid w:val="00284C0E"/>
    <w:rsid w:val="00347BEB"/>
    <w:rsid w:val="003D0E22"/>
    <w:rsid w:val="003E586F"/>
    <w:rsid w:val="00475A15"/>
    <w:rsid w:val="004B450E"/>
    <w:rsid w:val="00564F97"/>
    <w:rsid w:val="005B1EF2"/>
    <w:rsid w:val="0064444A"/>
    <w:rsid w:val="006B3D98"/>
    <w:rsid w:val="00745974"/>
    <w:rsid w:val="007668D8"/>
    <w:rsid w:val="007C4872"/>
    <w:rsid w:val="00906DC6"/>
    <w:rsid w:val="00A35681"/>
    <w:rsid w:val="00A855E4"/>
    <w:rsid w:val="00B47200"/>
    <w:rsid w:val="00C071A3"/>
    <w:rsid w:val="00CE20CA"/>
    <w:rsid w:val="00CE2247"/>
    <w:rsid w:val="00DD6C49"/>
    <w:rsid w:val="00E652B1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vanya.com/make-paym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F4324-A473-4E0F-ADD5-B796371B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5</cp:revision>
  <dcterms:created xsi:type="dcterms:W3CDTF">2024-05-10T13:27:00Z</dcterms:created>
  <dcterms:modified xsi:type="dcterms:W3CDTF">2024-05-21T09:36:00Z</dcterms:modified>
</cp:coreProperties>
</file>